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spacing w:lineRule="auto" w:line="480"/>
        <w:jc w:val="center"/>
        <w:rPr>
          <w:rFonts w:ascii="Times New Roman" w:cs="Times New Roman" w:hAnsi="Times New Roman"/>
          <w:sz w:val="24"/>
          <w:szCs w:val="24"/>
        </w:rPr>
      </w:pPr>
      <w:r>
        <w:rPr>
          <w:rFonts w:ascii="Times New Roman" w:cs="Times New Roman" w:hAnsi="Times New Roman"/>
          <w:sz w:val="24"/>
          <w:szCs w:val="24"/>
        </w:rPr>
        <w:t>Exempt and Non-exempt Employees</w:t>
      </w:r>
    </w:p>
    <w:p>
      <w:pPr>
        <w:pStyle w:val="style0"/>
        <w:spacing w:lineRule="auto" w:line="480"/>
        <w:jc w:val="center"/>
        <w:rPr>
          <w:rFonts w:ascii="Times New Roman" w:cs="Times New Roman" w:hAnsi="Times New Roman"/>
          <w:sz w:val="24"/>
          <w:szCs w:val="24"/>
        </w:rPr>
      </w:pPr>
    </w:p>
    <w:p>
      <w:pPr>
        <w:pStyle w:val="style179"/>
        <w:spacing w:lineRule="auto" w:line="480"/>
        <w:jc w:val="center"/>
        <w:rPr>
          <w:rFonts w:ascii="Times New Roman" w:cs="Times New Roman" w:hAnsi="Times New Roman"/>
          <w:sz w:val="24"/>
          <w:szCs w:val="24"/>
        </w:rPr>
      </w:pPr>
    </w:p>
    <w:p>
      <w:pPr>
        <w:pStyle w:val="style179"/>
        <w:spacing w:lineRule="auto" w:line="480"/>
        <w:jc w:val="center"/>
        <w:rPr>
          <w:rFonts w:ascii="Times New Roman" w:cs="Times New Roman" w:hAnsi="Times New Roman"/>
          <w:sz w:val="24"/>
          <w:szCs w:val="24"/>
        </w:rPr>
      </w:pPr>
      <w:r>
        <w:rPr>
          <w:rFonts w:ascii="Times New Roman" w:cs="Times New Roman" w:hAnsi="Times New Roman"/>
          <w:sz w:val="24"/>
          <w:szCs w:val="24"/>
        </w:rPr>
        <w:t>Student’s name</w:t>
      </w:r>
    </w:p>
    <w:p>
      <w:pPr>
        <w:pStyle w:val="style179"/>
        <w:spacing w:lineRule="auto" w:line="480"/>
        <w:jc w:val="center"/>
        <w:rPr>
          <w:rFonts w:ascii="Times New Roman" w:cs="Times New Roman" w:hAnsi="Times New Roman"/>
          <w:sz w:val="24"/>
          <w:szCs w:val="24"/>
        </w:rPr>
      </w:pPr>
      <w:r>
        <w:rPr>
          <w:rFonts w:ascii="Times New Roman" w:cs="Times New Roman" w:hAnsi="Times New Roman"/>
          <w:sz w:val="24"/>
          <w:szCs w:val="24"/>
        </w:rPr>
        <w:t>Professor’s name</w:t>
      </w:r>
    </w:p>
    <w:p>
      <w:pPr>
        <w:pStyle w:val="style179"/>
        <w:spacing w:lineRule="auto" w:line="480"/>
        <w:jc w:val="center"/>
        <w:rPr>
          <w:rFonts w:ascii="Times New Roman" w:cs="Times New Roman" w:hAnsi="Times New Roman"/>
          <w:sz w:val="24"/>
          <w:szCs w:val="24"/>
        </w:rPr>
      </w:pPr>
      <w:r>
        <w:rPr>
          <w:rFonts w:ascii="Times New Roman" w:cs="Times New Roman" w:hAnsi="Times New Roman"/>
          <w:sz w:val="24"/>
          <w:szCs w:val="24"/>
        </w:rPr>
        <w:t>University’s affiliation</w:t>
      </w:r>
    </w:p>
    <w:p>
      <w:pPr>
        <w:pStyle w:val="style179"/>
        <w:spacing w:lineRule="auto" w:line="480"/>
        <w:jc w:val="center"/>
        <w:rPr>
          <w:rFonts w:ascii="Times New Roman" w:cs="Times New Roman" w:hAnsi="Times New Roman"/>
          <w:sz w:val="24"/>
          <w:szCs w:val="24"/>
        </w:rPr>
      </w:pPr>
      <w:r>
        <w:rPr>
          <w:rFonts w:ascii="Times New Roman" w:cs="Times New Roman" w:hAnsi="Times New Roman"/>
          <w:sz w:val="24"/>
          <w:szCs w:val="24"/>
        </w:rPr>
        <w:t>Address</w:t>
      </w:r>
    </w:p>
    <w:p>
      <w:pPr>
        <w:pStyle w:val="style179"/>
        <w:spacing w:lineRule="auto" w:line="480"/>
        <w:jc w:val="center"/>
        <w:rPr>
          <w:rFonts w:ascii="Times New Roman" w:cs="Times New Roman" w:hAnsi="Times New Roman"/>
          <w:sz w:val="24"/>
          <w:szCs w:val="24"/>
        </w:rPr>
      </w:pPr>
      <w:r>
        <w:rPr>
          <w:rFonts w:ascii="Times New Roman" w:cs="Times New Roman" w:hAnsi="Times New Roman"/>
          <w:sz w:val="24"/>
          <w:szCs w:val="24"/>
        </w:rPr>
        <w:t>Date</w:t>
      </w:r>
    </w:p>
    <w:p>
      <w:pPr>
        <w:pStyle w:val="style0"/>
        <w:spacing w:lineRule="auto" w:line="480"/>
        <w:jc w:val="center"/>
        <w:rPr>
          <w:rFonts w:ascii="Times New Roman" w:cs="Times New Roman" w:hAnsi="Times New Roman"/>
          <w:sz w:val="24"/>
          <w:szCs w:val="24"/>
        </w:rPr>
      </w:pPr>
    </w:p>
    <w:p>
      <w:pPr>
        <w:pStyle w:val="style0"/>
        <w:spacing w:after="0" w:lineRule="auto" w:line="480"/>
        <w:ind w:left="720" w:hanging="720"/>
        <w:rPr>
          <w:rFonts w:ascii="Times New Roman" w:cs="Times New Roman" w:hAnsi="Times New Roman"/>
          <w:sz w:val="24"/>
          <w:szCs w:val="24"/>
        </w:rPr>
      </w:pPr>
      <w:r>
        <w:rPr>
          <w:rFonts w:ascii="Times New Roman" w:cs="Times New Roman" w:hAnsi="Times New Roman"/>
          <w:sz w:val="24"/>
          <w:szCs w:val="24"/>
        </w:rPr>
        <w:br w:type="page"/>
      </w:r>
    </w:p>
    <w:p>
      <w:pPr>
        <w:pStyle w:val="style179"/>
        <w:spacing w:lineRule="auto" w:line="480"/>
        <w:ind w:firstLine="720"/>
        <w:rPr>
          <w:rFonts w:ascii="Times New Roman" w:cs="Times New Roman" w:hAnsi="Times New Roman"/>
          <w:color w:val="000000"/>
          <w:sz w:val="24"/>
          <w:szCs w:val="24"/>
        </w:rPr>
      </w:pPr>
      <w:r>
        <w:rPr>
          <w:rFonts w:ascii="Times New Roman" w:cs="Times New Roman" w:hAnsi="Times New Roman"/>
          <w:sz w:val="24"/>
          <w:szCs w:val="24"/>
        </w:rPr>
        <w:t xml:space="preserve">   </w:t>
      </w:r>
      <w:r>
        <w:rPr>
          <w:rFonts w:ascii="Times New Roman" w:cs="Times New Roman" w:hAnsi="Times New Roman"/>
          <w:color w:val="000000"/>
          <w:sz w:val="24"/>
          <w:szCs w:val="24"/>
        </w:rPr>
        <w:t xml:space="preserve">Exempt employees are paid for getting the job done and not for putting in more than 40 working hours per week. On the other hand, non-exempt employees are paid extra if they put in more than 40 working hours per week. The exempt employees are paid on a regular salary basis which is a predetermined amount. They do not qualify to receive minimum wages or overtime pay like the non-exempt employees do </w:t>
      </w:r>
      <w:r>
        <w:rPr>
          <w:rFonts w:ascii="Times New Roman" w:cs="Times New Roman" w:hAnsi="Times New Roman"/>
          <w:color w:val="000000"/>
          <w:sz w:val="24"/>
          <w:szCs w:val="24"/>
          <w:shd w:val="clear" w:color="auto" w:fill="ffffff"/>
        </w:rPr>
        <w:t>(</w:t>
      </w:r>
      <w:r>
        <w:rPr>
          <w:rFonts w:ascii="Times New Roman" w:cs="Times New Roman" w:hAnsi="Times New Roman"/>
          <w:color w:val="000000"/>
          <w:sz w:val="24"/>
          <w:szCs w:val="24"/>
          <w:shd w:val="clear" w:color="auto" w:fill="ffffff"/>
        </w:rPr>
        <w:t>Ko</w:t>
      </w:r>
      <w:r>
        <w:rPr>
          <w:rFonts w:ascii="Times New Roman" w:cs="Times New Roman" w:hAnsi="Times New Roman"/>
          <w:color w:val="000000"/>
          <w:sz w:val="24"/>
          <w:szCs w:val="24"/>
          <w:shd w:val="clear" w:color="auto" w:fill="ffffff"/>
        </w:rPr>
        <w:t xml:space="preserve"> &amp; </w:t>
      </w:r>
      <w:r>
        <w:rPr>
          <w:rFonts w:ascii="Times New Roman" w:cs="Times New Roman" w:hAnsi="Times New Roman"/>
          <w:color w:val="000000"/>
          <w:sz w:val="24"/>
          <w:szCs w:val="24"/>
          <w:shd w:val="clear" w:color="auto" w:fill="ffffff"/>
        </w:rPr>
        <w:t>Kleiner</w:t>
      </w:r>
      <w:r>
        <w:rPr>
          <w:rFonts w:ascii="Times New Roman" w:cs="Times New Roman" w:hAnsi="Times New Roman"/>
          <w:color w:val="000000"/>
          <w:sz w:val="24"/>
          <w:szCs w:val="24"/>
          <w:shd w:val="clear" w:color="auto" w:fill="ffffff"/>
        </w:rPr>
        <w:t>, 2005)</w:t>
      </w:r>
      <w:r>
        <w:rPr>
          <w:rFonts w:ascii="Times New Roman" w:cs="Times New Roman" w:hAnsi="Times New Roman"/>
          <w:color w:val="000000"/>
          <w:sz w:val="24"/>
          <w:szCs w:val="24"/>
        </w:rPr>
        <w:t>. To avoid any legal punishment, employers must</w:t>
      </w:r>
      <w:r>
        <w:rPr>
          <w:rFonts w:ascii="Times New Roman" w:cs="Times New Roman" w:hAnsi="Times New Roman"/>
          <w:color w:val="000000"/>
          <w:sz w:val="24"/>
          <w:szCs w:val="24"/>
        </w:rPr>
        <w:t xml:space="preserve"> at all times</w:t>
      </w:r>
      <w:r>
        <w:rPr>
          <w:rFonts w:ascii="Times New Roman" w:cs="Times New Roman" w:hAnsi="Times New Roman"/>
          <w:color w:val="000000"/>
          <w:sz w:val="24"/>
          <w:szCs w:val="24"/>
        </w:rPr>
        <w:t xml:space="preserve"> properly </w:t>
      </w:r>
      <w:bookmarkStart w:id="0" w:name="_GoBack"/>
      <w:bookmarkEnd w:id="0"/>
      <w:r>
        <w:rPr>
          <w:rFonts w:ascii="Times New Roman" w:cs="Times New Roman" w:hAnsi="Times New Roman"/>
          <w:color w:val="000000"/>
          <w:sz w:val="24"/>
          <w:szCs w:val="24"/>
        </w:rPr>
        <w:t xml:space="preserve">classify their employees as either exempt or non-exempt </w:t>
      </w:r>
      <w:r>
        <w:rPr>
          <w:rFonts w:ascii="Times New Roman" w:cs="Times New Roman" w:hAnsi="Times New Roman"/>
          <w:color w:val="000000"/>
          <w:sz w:val="24"/>
          <w:szCs w:val="24"/>
          <w:shd w:val="clear" w:color="auto" w:fill="ffffff"/>
        </w:rPr>
        <w:t xml:space="preserve">(Bridges &amp; </w:t>
      </w:r>
      <w:r>
        <w:rPr>
          <w:rFonts w:ascii="Times New Roman" w:cs="Times New Roman" w:hAnsi="Times New Roman"/>
          <w:color w:val="000000"/>
          <w:sz w:val="24"/>
          <w:szCs w:val="24"/>
          <w:shd w:val="clear" w:color="auto" w:fill="ffffff"/>
        </w:rPr>
        <w:t>Kleiner</w:t>
      </w:r>
      <w:r>
        <w:rPr>
          <w:rFonts w:ascii="Times New Roman" w:cs="Times New Roman" w:hAnsi="Times New Roman"/>
          <w:color w:val="000000"/>
          <w:sz w:val="24"/>
          <w:szCs w:val="24"/>
          <w:shd w:val="clear" w:color="auto" w:fill="ffffff"/>
        </w:rPr>
        <w:t>, 2000)</w:t>
      </w:r>
      <w:r>
        <w:rPr>
          <w:rFonts w:ascii="Times New Roman" w:cs="Times New Roman" w:hAnsi="Times New Roman"/>
          <w:color w:val="000000"/>
          <w:sz w:val="24"/>
          <w:szCs w:val="24"/>
        </w:rPr>
        <w:t>. Classifying</w:t>
      </w:r>
      <w:r>
        <w:rPr>
          <w:rFonts w:ascii="Times New Roman" w:cs="Times New Roman" w:hAnsi="Times New Roman"/>
          <w:color w:val="000000"/>
          <w:sz w:val="24"/>
          <w:szCs w:val="24"/>
        </w:rPr>
        <w:t xml:space="preserve"> employee</w:t>
      </w:r>
      <w:r>
        <w:rPr>
          <w:rFonts w:ascii="Times New Roman" w:cs="Times New Roman" w:hAnsi="Times New Roman"/>
          <w:color w:val="000000"/>
          <w:sz w:val="24"/>
          <w:szCs w:val="24"/>
        </w:rPr>
        <w:t>s</w:t>
      </w:r>
      <w:r>
        <w:rPr>
          <w:rFonts w:ascii="Times New Roman" w:cs="Times New Roman" w:hAnsi="Times New Roman"/>
          <w:color w:val="000000"/>
          <w:sz w:val="24"/>
          <w:szCs w:val="24"/>
        </w:rPr>
        <w:t xml:space="preserve"> is an important action which influences the organization's structure and functionality. It is vital in ensuring that the organization runs smoothly and that all workforce efforts are recorded to optimize profit. It allows the employer to recognize and describe job roles, making sure that each employee is assigned a task that perfectly suits their skills. This would ensure that the employees work more easily and are able to give it their best</w:t>
      </w:r>
      <w:r>
        <w:rPr>
          <w:rFonts w:ascii="Times New Roman" w:cs="Times New Roman" w:hAnsi="Times New Roman"/>
          <w:color w:val="000000"/>
          <w:sz w:val="24"/>
          <w:szCs w:val="24"/>
        </w:rPr>
        <w:t xml:space="preserve"> while at work</w:t>
      </w:r>
      <w:r>
        <w:rPr>
          <w:rFonts w:ascii="Times New Roman" w:cs="Times New Roman" w:hAnsi="Times New Roman"/>
          <w:color w:val="000000"/>
          <w:sz w:val="24"/>
          <w:szCs w:val="24"/>
        </w:rPr>
        <w:t xml:space="preserve">. A determined workforce is necessary for a successful organization, and classifying employees as either exempt or non-exempt gives them the motivation they need. This classification enables employees to work in an environment they so desire and where they experience no pressure. This is useful as it enables them to perform at their optimum and give more quality output which would benefit the organization. </w:t>
      </w:r>
    </w:p>
    <w:p>
      <w:pPr>
        <w:pStyle w:val="style179"/>
        <w:spacing w:lineRule="auto" w:line="480"/>
        <w:ind w:firstLine="720"/>
        <w:rPr>
          <w:rFonts w:ascii="Times New Roman" w:cs="Times New Roman" w:hAnsi="Times New Roman"/>
          <w:color w:val="000000"/>
          <w:sz w:val="24"/>
          <w:szCs w:val="24"/>
        </w:rPr>
      </w:pPr>
      <w:r>
        <w:rPr>
          <w:rFonts w:ascii="Times New Roman" w:cs="Times New Roman" w:hAnsi="Times New Roman"/>
          <w:color w:val="000000"/>
          <w:sz w:val="24"/>
          <w:szCs w:val="24"/>
        </w:rPr>
        <w:t>If I had a choice, I would like to be classified under the non-exempt employees. I am a hardworking and determined person and would not mind putting in extra working hours. Being classified as a non-exempt employee gives me the necessary platform where my extra efforts would be appreciated. Working as a non-exempt employee, my efforts would be more profitable than working as an exempt employee.</w:t>
      </w:r>
    </w:p>
    <w:p>
      <w:pPr>
        <w:pStyle w:val="style179"/>
        <w:spacing w:lineRule="auto" w:line="480"/>
        <w:ind w:firstLine="720"/>
        <w:rPr>
          <w:rFonts w:ascii="Times New Roman" w:cs="Times New Roman" w:hAnsi="Times New Roman"/>
          <w:sz w:val="24"/>
          <w:szCs w:val="24"/>
        </w:rPr>
      </w:pPr>
    </w:p>
    <w:p>
      <w:pPr>
        <w:pStyle w:val="style0"/>
        <w:spacing w:lineRule="auto" w:line="480"/>
        <w:jc w:val="center"/>
        <w:rPr>
          <w:rFonts w:ascii="Times New Roman" w:cs="Times New Roman" w:hAnsi="Times New Roman"/>
          <w:color w:val="000000"/>
          <w:sz w:val="24"/>
          <w:szCs w:val="24"/>
        </w:rPr>
      </w:pPr>
      <w:r>
        <w:rPr>
          <w:rFonts w:ascii="Times New Roman" w:cs="Times New Roman" w:hAnsi="Times New Roman"/>
          <w:color w:val="000000"/>
          <w:sz w:val="24"/>
          <w:szCs w:val="24"/>
        </w:rPr>
        <w:t>Reference</w:t>
      </w:r>
    </w:p>
    <w:p>
      <w:pPr>
        <w:pStyle w:val="style0"/>
        <w:spacing w:lineRule="auto" w:line="480"/>
        <w:rPr>
          <w:rFonts w:ascii="Times New Roman" w:cs="Times New Roman" w:hAnsi="Times New Roman"/>
          <w:color w:val="000000"/>
          <w:sz w:val="24"/>
          <w:szCs w:val="24"/>
          <w:shd w:val="clear" w:color="auto" w:fill="ffffff"/>
        </w:rPr>
      </w:pPr>
      <w:r>
        <w:rPr>
          <w:rFonts w:ascii="Times New Roman" w:cs="Times New Roman" w:hAnsi="Times New Roman"/>
          <w:color w:val="000000"/>
          <w:sz w:val="24"/>
          <w:szCs w:val="24"/>
          <w:shd w:val="clear" w:color="auto" w:fill="ffffff"/>
        </w:rPr>
        <w:t>Ko</w:t>
      </w:r>
      <w:r>
        <w:rPr>
          <w:rFonts w:ascii="Times New Roman" w:cs="Times New Roman" w:hAnsi="Times New Roman"/>
          <w:color w:val="000000"/>
          <w:sz w:val="24"/>
          <w:szCs w:val="24"/>
          <w:shd w:val="clear" w:color="auto" w:fill="ffffff"/>
        </w:rPr>
        <w:t xml:space="preserve">, H., &amp; </w:t>
      </w:r>
      <w:r>
        <w:rPr>
          <w:rFonts w:ascii="Times New Roman" w:cs="Times New Roman" w:hAnsi="Times New Roman"/>
          <w:color w:val="000000"/>
          <w:sz w:val="24"/>
          <w:szCs w:val="24"/>
          <w:shd w:val="clear" w:color="auto" w:fill="ffffff"/>
        </w:rPr>
        <w:t>Kleiner</w:t>
      </w:r>
      <w:r>
        <w:rPr>
          <w:rFonts w:ascii="Times New Roman" w:cs="Times New Roman" w:hAnsi="Times New Roman"/>
          <w:color w:val="000000"/>
          <w:sz w:val="24"/>
          <w:szCs w:val="24"/>
          <w:shd w:val="clear" w:color="auto" w:fill="ffffff"/>
        </w:rPr>
        <w:t>, B. (2005). Analysing jobs to determine exempt or non‐exempt status. </w:t>
      </w:r>
      <w:r>
        <w:rPr>
          <w:rFonts w:ascii="Times New Roman" w:cs="Times New Roman" w:hAnsi="Times New Roman"/>
          <w:i/>
          <w:iCs/>
          <w:color w:val="000000"/>
          <w:sz w:val="24"/>
          <w:szCs w:val="24"/>
          <w:shd w:val="clear" w:color="auto" w:fill="ffffff"/>
        </w:rPr>
        <w:t>Equal Opportunities International</w:t>
      </w:r>
      <w:r>
        <w:rPr>
          <w:rFonts w:ascii="Times New Roman" w:cs="Times New Roman" w:hAnsi="Times New Roman"/>
          <w:color w:val="000000"/>
          <w:sz w:val="24"/>
          <w:szCs w:val="24"/>
          <w:shd w:val="clear" w:color="auto" w:fill="ffffff"/>
        </w:rPr>
        <w:t>, </w:t>
      </w:r>
      <w:r>
        <w:rPr>
          <w:rFonts w:ascii="Times New Roman" w:cs="Times New Roman" w:hAnsi="Times New Roman"/>
          <w:i/>
          <w:iCs/>
          <w:color w:val="000000"/>
          <w:sz w:val="24"/>
          <w:szCs w:val="24"/>
          <w:shd w:val="clear" w:color="auto" w:fill="ffffff"/>
        </w:rPr>
        <w:t>24</w:t>
      </w:r>
      <w:r>
        <w:rPr>
          <w:rFonts w:ascii="Times New Roman" w:cs="Times New Roman" w:hAnsi="Times New Roman"/>
          <w:color w:val="000000"/>
          <w:sz w:val="24"/>
          <w:szCs w:val="24"/>
          <w:shd w:val="clear" w:color="auto" w:fill="ffffff"/>
        </w:rPr>
        <w:t xml:space="preserve">(5/6), 93-100. </w:t>
      </w:r>
      <w:r>
        <w:rPr/>
        <w:fldChar w:fldCharType="begin"/>
      </w:r>
      <w:r>
        <w:instrText xml:space="preserve"> HYPERLINK "https://doi.org/10.1108/02610150510788204" </w:instrText>
      </w:r>
      <w:r>
        <w:rPr/>
        <w:fldChar w:fldCharType="separate"/>
      </w:r>
      <w:r>
        <w:rPr>
          <w:rStyle w:val="style85"/>
          <w:rFonts w:ascii="Times New Roman" w:cs="Times New Roman" w:hAnsi="Times New Roman"/>
          <w:sz w:val="24"/>
          <w:szCs w:val="24"/>
          <w:shd w:val="clear" w:color="auto" w:fill="ffffff"/>
        </w:rPr>
        <w:t>https://doi.org/10.1108/02610150510788204</w:t>
      </w:r>
      <w:r>
        <w:rPr/>
        <w:fldChar w:fldCharType="end"/>
      </w:r>
    </w:p>
    <w:p>
      <w:pPr>
        <w:pStyle w:val="style0"/>
        <w:spacing w:lineRule="auto" w:line="480"/>
        <w:rPr>
          <w:rFonts w:ascii="Times New Roman" w:cs="Times New Roman" w:hAnsi="Times New Roman"/>
          <w:sz w:val="24"/>
          <w:szCs w:val="24"/>
        </w:rPr>
      </w:pPr>
      <w:r>
        <w:rPr>
          <w:rFonts w:ascii="Times New Roman" w:cs="Times New Roman" w:hAnsi="Times New Roman"/>
          <w:color w:val="000000"/>
          <w:sz w:val="24"/>
          <w:szCs w:val="24"/>
          <w:shd w:val="clear" w:color="auto" w:fill="ffffff"/>
        </w:rPr>
        <w:t xml:space="preserve">Bridges, J., &amp; </w:t>
      </w:r>
      <w:r>
        <w:rPr>
          <w:rFonts w:ascii="Times New Roman" w:cs="Times New Roman" w:hAnsi="Times New Roman"/>
          <w:color w:val="000000"/>
          <w:sz w:val="24"/>
          <w:szCs w:val="24"/>
          <w:shd w:val="clear" w:color="auto" w:fill="ffffff"/>
        </w:rPr>
        <w:t>Kleiner</w:t>
      </w:r>
      <w:r>
        <w:rPr>
          <w:rFonts w:ascii="Times New Roman" w:cs="Times New Roman" w:hAnsi="Times New Roman"/>
          <w:color w:val="000000"/>
          <w:sz w:val="24"/>
          <w:szCs w:val="24"/>
          <w:shd w:val="clear" w:color="auto" w:fill="ffffff"/>
        </w:rPr>
        <w:t>, B. (2000). Determining exempt or non‐exempt status under California law for managers. </w:t>
      </w:r>
      <w:r>
        <w:rPr>
          <w:rFonts w:ascii="Times New Roman" w:cs="Times New Roman" w:hAnsi="Times New Roman"/>
          <w:i/>
          <w:iCs/>
          <w:color w:val="000000"/>
          <w:sz w:val="24"/>
          <w:szCs w:val="24"/>
          <w:shd w:val="clear" w:color="auto" w:fill="ffffff"/>
        </w:rPr>
        <w:t>Equal Opportunities International</w:t>
      </w:r>
      <w:r>
        <w:rPr>
          <w:rFonts w:ascii="Times New Roman" w:cs="Times New Roman" w:hAnsi="Times New Roman"/>
          <w:color w:val="000000"/>
          <w:sz w:val="24"/>
          <w:szCs w:val="24"/>
          <w:shd w:val="clear" w:color="auto" w:fill="ffffff"/>
        </w:rPr>
        <w:t>, </w:t>
      </w:r>
      <w:r>
        <w:rPr>
          <w:rFonts w:ascii="Times New Roman" w:cs="Times New Roman" w:hAnsi="Times New Roman"/>
          <w:i/>
          <w:iCs/>
          <w:color w:val="000000"/>
          <w:sz w:val="24"/>
          <w:szCs w:val="24"/>
          <w:shd w:val="clear" w:color="auto" w:fill="ffffff"/>
        </w:rPr>
        <w:t>19</w:t>
      </w:r>
      <w:r>
        <w:rPr>
          <w:rFonts w:ascii="Times New Roman" w:cs="Times New Roman" w:hAnsi="Times New Roman"/>
          <w:color w:val="000000"/>
          <w:sz w:val="24"/>
          <w:szCs w:val="24"/>
          <w:shd w:val="clear" w:color="auto" w:fill="ffffff"/>
        </w:rPr>
        <w:t>(6/7), 34-39. https://doi.org/10.1108/02610150010786481</w:t>
      </w:r>
    </w:p>
    <w:p>
      <w:pPr>
        <w:pStyle w:val="style0"/>
        <w:rPr/>
      </w:pPr>
    </w:p>
    <w:sectPr>
      <w:headerReference w:type="default" r:id="rId2"/>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E0002EFF" w:usb1="C000785B" w:usb2="00000009" w:usb3="00000000" w:csb0="000001FF" w:csb1="00000000"/>
  </w:font>
  <w:font w:name="Calibri">
    <w:altName w:val="Calibri"/>
    <w:panose1 w:val="020f0502020002030204"/>
    <w:charset w:val="00"/>
    <w:family w:val="swiss"/>
    <w:pitch w:val="variable"/>
    <w:sig w:usb0="E0002AFF" w:usb1="C000247B" w:usb2="00000009" w:usb3="00000000" w:csb0="000001FF" w:csb1="00000000"/>
  </w:font>
  <w:font w:name="Calibri Light">
    <w:altName w:val="Calibri Light"/>
    <w:panose1 w:val="020f0302020002030204"/>
    <w:charset w:val="00"/>
    <w:family w:val="swiss"/>
    <w:pitch w:val="variable"/>
    <w:sig w:usb0="E0002AFF" w:usb1="C000247B" w:usb2="00000009" w:usb3="00000000" w:csb0="000001FF" w:csb1="00000000"/>
  </w:font>
</w:fonts>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1"/>
      <w:jc w:val="right"/>
      <w:rPr/>
    </w:pPr>
    <w:r>
      <w:rPr/>
      <w:fldChar w:fldCharType="begin"/>
    </w:r>
    <w:r>
      <w:instrText xml:space="preserve"> PAGE   \* MERGEFORMAT </w:instrText>
    </w:r>
    <w:r>
      <w:rPr/>
      <w:fldChar w:fldCharType="separate"/>
    </w:r>
    <w:r>
      <w:rPr>
        <w:noProof/>
      </w:rPr>
      <w:t>2</w:t>
    </w:r>
    <w:r>
      <w:rPr>
        <w:noProof/>
      </w:rPr>
      <w:fldChar w:fldCharType="end"/>
    </w:r>
  </w:p>
  <w:p>
    <w:pPr>
      <w:pStyle w:val="style3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DD28C1E2"/>
    <w:lvl w:ilvl="0" w:tplc="D2C800C8">
      <w:start w:val="1"/>
      <w:numFmt w:val="decimal"/>
      <w:lvlText w:val="%1."/>
      <w:lvlJc w:val="left"/>
      <w:pPr>
        <w:ind w:left="720" w:hanging="360"/>
      </w:pPr>
      <w:rPr>
        <w:rFonts w:hint="default"/>
      </w:rPr>
    </w:lvl>
    <w:lvl w:ilvl="1" w:tplc="3474D6C8" w:tentative="1">
      <w:start w:val="1"/>
      <w:numFmt w:val="lowerLetter"/>
      <w:lvlText w:val="%2."/>
      <w:lvlJc w:val="left"/>
      <w:pPr>
        <w:ind w:left="1440" w:hanging="360"/>
      </w:pPr>
    </w:lvl>
    <w:lvl w:ilvl="2" w:tplc="35AE9B18" w:tentative="1">
      <w:start w:val="1"/>
      <w:numFmt w:val="lowerRoman"/>
      <w:lvlText w:val="%3."/>
      <w:lvlJc w:val="right"/>
      <w:pPr>
        <w:ind w:left="2160" w:hanging="180"/>
      </w:pPr>
    </w:lvl>
    <w:lvl w:ilvl="3" w:tplc="8D2E9A5E" w:tentative="1">
      <w:start w:val="1"/>
      <w:numFmt w:val="decimal"/>
      <w:lvlText w:val="%4."/>
      <w:lvlJc w:val="left"/>
      <w:pPr>
        <w:ind w:left="2880" w:hanging="360"/>
      </w:pPr>
    </w:lvl>
    <w:lvl w:ilvl="4" w:tplc="B62EA824" w:tentative="1">
      <w:start w:val="1"/>
      <w:numFmt w:val="lowerLetter"/>
      <w:lvlText w:val="%5."/>
      <w:lvlJc w:val="left"/>
      <w:pPr>
        <w:ind w:left="3600" w:hanging="360"/>
      </w:pPr>
    </w:lvl>
    <w:lvl w:ilvl="5" w:tplc="EE4EBB86" w:tentative="1">
      <w:start w:val="1"/>
      <w:numFmt w:val="lowerRoman"/>
      <w:lvlText w:val="%6."/>
      <w:lvlJc w:val="right"/>
      <w:pPr>
        <w:ind w:left="4320" w:hanging="180"/>
      </w:pPr>
    </w:lvl>
    <w:lvl w:ilvl="6" w:tplc="BA7E0076" w:tentative="1">
      <w:start w:val="1"/>
      <w:numFmt w:val="decimal"/>
      <w:lvlText w:val="%7."/>
      <w:lvlJc w:val="left"/>
      <w:pPr>
        <w:ind w:left="5040" w:hanging="360"/>
      </w:pPr>
    </w:lvl>
    <w:lvl w:ilvl="7" w:tplc="296A235A" w:tentative="1">
      <w:start w:val="1"/>
      <w:numFmt w:val="lowerLetter"/>
      <w:lvlText w:val="%8."/>
      <w:lvlJc w:val="left"/>
      <w:pPr>
        <w:ind w:left="5760" w:hanging="360"/>
      </w:pPr>
    </w:lvl>
    <w:lvl w:ilvl="8" w:tplc="BBCAB0C2" w:tentative="1">
      <w:start w:val="1"/>
      <w:numFmt w:val="lowerRoman"/>
      <w:lvlText w:val="%9."/>
      <w:lvlJc w:val="right"/>
      <w:pPr>
        <w:ind w:left="6480" w:hanging="180"/>
      </w:pPr>
    </w:lvl>
  </w:abstractNum>
  <w:num w:numId="1">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en-US" w:bidi="ar-SA" w:eastAsia="en-US"/>
      </w:rPr>
    </w:rPrDefault>
    <w:pPrDefault>
      <w:pPr>
        <w:spacing w:lineRule="auto" w:line="480"/>
        <w:ind w:left="720" w:hanging="720"/>
      </w:pPr>
    </w:pPrDefault>
  </w:docDefaults>
  <w:style w:type="paragraph" w:default="1" w:styleId="style0">
    <w:name w:val="Normal"/>
    <w:next w:val="style0"/>
    <w:qFormat/>
    <w:pPr>
      <w:spacing w:after="160" w:lineRule="auto" w:line="259"/>
      <w:ind w:left="0" w:firstLine="0"/>
    </w:pPr>
    <w:rPr>
      <w:lang w:val="en-GB"/>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79">
    <w:name w:val="List Paragraph"/>
    <w:basedOn w:val="style0"/>
    <w:next w:val="style179"/>
    <w:qFormat/>
    <w:uiPriority w:val="34"/>
    <w:pPr>
      <w:ind w:left="720"/>
      <w:contextualSpacing/>
    </w:pPr>
    <w:rPr/>
  </w:style>
  <w:style w:type="paragraph" w:styleId="style31">
    <w:name w:val="header"/>
    <w:basedOn w:val="style0"/>
    <w:next w:val="style31"/>
    <w:link w:val="style4097"/>
    <w:uiPriority w:val="99"/>
    <w:pPr>
      <w:tabs>
        <w:tab w:val="center" w:leader="none" w:pos="4680"/>
        <w:tab w:val="right" w:leader="none" w:pos="9360"/>
      </w:tabs>
      <w:spacing w:after="0" w:lineRule="auto" w:line="240"/>
    </w:pPr>
    <w:rPr/>
  </w:style>
  <w:style w:type="character" w:customStyle="1" w:styleId="style4097">
    <w:name w:val="Header Char_9c5a53d2-a489-4582-8cf9-cc3bcc6efba9"/>
    <w:basedOn w:val="style65"/>
    <w:next w:val="style4097"/>
    <w:link w:val="style31"/>
    <w:uiPriority w:val="99"/>
    <w:rPr>
      <w:lang w:val="en-GB"/>
    </w:rPr>
  </w:style>
  <w:style w:type="paragraph" w:styleId="style32">
    <w:name w:val="footer"/>
    <w:basedOn w:val="style0"/>
    <w:next w:val="style32"/>
    <w:link w:val="style4098"/>
    <w:uiPriority w:val="99"/>
    <w:pPr>
      <w:tabs>
        <w:tab w:val="center" w:leader="none" w:pos="4680"/>
        <w:tab w:val="right" w:leader="none" w:pos="9360"/>
      </w:tabs>
      <w:spacing w:after="0" w:lineRule="auto" w:line="240"/>
    </w:pPr>
    <w:rPr/>
  </w:style>
  <w:style w:type="character" w:customStyle="1" w:styleId="style4098">
    <w:name w:val="Footer Char_6089a53e-562c-499f-845b-df72c3ea63d3"/>
    <w:basedOn w:val="style65"/>
    <w:next w:val="style4098"/>
    <w:link w:val="style32"/>
    <w:uiPriority w:val="99"/>
    <w:rPr>
      <w:lang w:val="en-GB"/>
    </w:rPr>
  </w:style>
  <w:style w:type="character" w:styleId="style85">
    <w:name w:val="Hyperlink"/>
    <w:basedOn w:val="style65"/>
    <w:next w:val="style85"/>
    <w:uiPriority w:val="99"/>
    <w:rPr>
      <w:color w:val="0563c1"/>
      <w:u w:val="single"/>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header" Target="header1.xml"/><Relationship Id="rId3" Type="http://schemas.openxmlformats.org/officeDocument/2006/relationships/styles" Target="styl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Words>361</Words>
  <Pages>3</Pages>
  <Characters>2000</Characters>
  <Application>WPS Office</Application>
  <DocSecurity>0</DocSecurity>
  <Paragraphs>20</Paragraphs>
  <ScaleCrop>false</ScaleCrop>
  <LinksUpToDate>false</LinksUpToDate>
  <CharactersWithSpaces>2353</CharactersWithSpaces>
  <SharedDoc>false</SharedDoc>
  <HyperlinksChanged>false</HyperlinksChanged>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2021-05-15T11:30:40Z</dcterms:created>
  <dc:creator>Windows User</dc:creator>
  <lastModifiedBy>SM-A307FN</lastModifiedBy>
  <dcterms:modified xsi:type="dcterms:W3CDTF">2021-05-15T11:30:40Z</dcterms:modified>
  <revision>5</revision>
</coreProperties>
</file>

<file path=docProps/custom.xml><?xml version="1.0" encoding="utf-8"?>
<Properties xmlns="http://schemas.openxmlformats.org/officeDocument/2006/custom-properties" xmlns:vt="http://schemas.openxmlformats.org/officeDocument/2006/docPropsVTypes"/>
</file>